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8783" w14:textId="77777777" w:rsidR="002B1DD6" w:rsidRDefault="002B1DD6" w:rsidP="004B4E13">
      <w:pPr>
        <w:spacing w:line="276" w:lineRule="auto"/>
        <w:jc w:val="center"/>
        <w:rPr>
          <w:b/>
          <w:bCs/>
          <w:sz w:val="22"/>
        </w:rPr>
      </w:pPr>
    </w:p>
    <w:p w14:paraId="783728FD" w14:textId="3AF092F5" w:rsidR="004B4E13" w:rsidRDefault="00E1318E" w:rsidP="004B4E13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 xml:space="preserve">ANEXO </w:t>
      </w:r>
      <w:r w:rsidR="002B0962">
        <w:rPr>
          <w:b/>
          <w:bCs/>
          <w:sz w:val="22"/>
        </w:rPr>
        <w:t>IV</w:t>
      </w:r>
      <w:r w:rsidRPr="00F56C79">
        <w:rPr>
          <w:b/>
          <w:bCs/>
          <w:sz w:val="22"/>
        </w:rPr>
        <w:t xml:space="preserve"> - </w:t>
      </w:r>
      <w:r w:rsidR="004B4E13" w:rsidRPr="004B4E13">
        <w:rPr>
          <w:b/>
          <w:bCs/>
          <w:sz w:val="22"/>
        </w:rPr>
        <w:t>PLANILHA DE CUSTOS E FORMAÇÃO DE PREÇOS</w:t>
      </w:r>
    </w:p>
    <w:p w14:paraId="6E89E3AF" w14:textId="77777777" w:rsidR="002B1DD6" w:rsidRDefault="002B1DD6" w:rsidP="004B4E13">
      <w:pPr>
        <w:spacing w:line="276" w:lineRule="auto"/>
        <w:jc w:val="center"/>
        <w:rPr>
          <w:b/>
          <w:bCs/>
          <w:sz w:val="22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10766"/>
      </w:tblGrid>
      <w:tr w:rsidR="000315D5" w:rsidRPr="00971E77" w14:paraId="49BA5D51" w14:textId="77777777" w:rsidTr="00457D5C">
        <w:trPr>
          <w:jc w:val="center"/>
        </w:trPr>
        <w:tc>
          <w:tcPr>
            <w:tcW w:w="0" w:type="auto"/>
          </w:tcPr>
          <w:p w14:paraId="5638524E" w14:textId="4BC3E0B5" w:rsidR="000315D5" w:rsidRPr="00971E77" w:rsidRDefault="000315D5" w:rsidP="002C6CEC">
            <w:pPr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Ficha Técnica descritiva do objeto</w:t>
            </w:r>
          </w:p>
        </w:tc>
      </w:tr>
      <w:tr w:rsidR="000315D5" w:rsidRPr="00971E77" w14:paraId="5F5C2979" w14:textId="77777777" w:rsidTr="00457D5C">
        <w:trPr>
          <w:jc w:val="center"/>
        </w:trPr>
        <w:tc>
          <w:tcPr>
            <w:tcW w:w="0" w:type="auto"/>
          </w:tcPr>
          <w:p w14:paraId="56663C87" w14:textId="77777777" w:rsidR="000315D5" w:rsidRPr="00971E77" w:rsidRDefault="00A52519" w:rsidP="002C6CEC">
            <w:pPr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Órgão comprador: Câmara Municipal de Serrana</w:t>
            </w:r>
          </w:p>
          <w:tbl>
            <w:tblPr>
              <w:tblW w:w="10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4540"/>
              <w:gridCol w:w="1720"/>
              <w:gridCol w:w="1400"/>
            </w:tblGrid>
            <w:tr w:rsidR="00971E77" w:rsidRPr="00971E77" w14:paraId="2C85365B" w14:textId="77777777" w:rsidTr="00971E7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39FCB18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>ITEM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2E33C2B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>QTD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2C0C5B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86CAC0F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>DESCRIÇÃO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4C117AFD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 xml:space="preserve"> VALOR UNITÁRIO 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5A816F2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b/>
                      <w:bCs/>
                      <w:sz w:val="22"/>
                      <w:lang w:eastAsia="pt-BR"/>
                    </w:rPr>
                    <w:t>VALOR TOTAL</w:t>
                  </w:r>
                </w:p>
              </w:tc>
            </w:tr>
            <w:tr w:rsidR="00971E77" w:rsidRPr="00971E77" w14:paraId="77F51F24" w14:textId="77777777" w:rsidTr="00971E77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2FEE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8AB9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BC65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54656" w14:textId="7A552A62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Painel amadeirado 8,20x4,20 (comprimento x</w:t>
                  </w:r>
                  <w:r w:rsidR="00CB5912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altura)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80A5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16ED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2851AD7D" w14:textId="77777777" w:rsidTr="00971E77">
              <w:trPr>
                <w:trHeight w:val="10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89268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549A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7ED34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3B3D7" w14:textId="1457BC7B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1 mesa para som e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pc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no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plenário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(1,40x0,60 x 1,40 x0,50 x 0,80) comprimento x profundidade x altura </w:t>
                  </w:r>
                  <w:proofErr w:type="gram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( com</w:t>
                  </w:r>
                  <w:proofErr w:type="gram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vidros 8mm de proteção lateral ,com sapatas</w:t>
                  </w:r>
                  <w:r w:rsidR="00CB5912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reguladoras reforçadas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11AD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DFA2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7E22B8B9" w14:textId="77777777" w:rsidTr="00971E77">
              <w:trPr>
                <w:trHeight w:val="20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964A8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76F7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6B1F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648E5" w14:textId="5AE4187F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1 balcão atendimento 3,00 x 0,70x0,80 com balcão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café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1,00 x 0,45 x 0,80 (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compr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x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profund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x </w:t>
                  </w:r>
                  <w:proofErr w:type="gram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altura )</w:t>
                  </w:r>
                  <w:proofErr w:type="gram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2 portas de giro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café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, mesa atendimento 2 gaveteiros com 3 gavetas cada com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rodízios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em gel silicone, puxador cava 45grau (gaveteiro 0,70 x 0,45 x 0,50 altura x profundidade x altura)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divisória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de vidro 8mm temperado para mesa atendimento,</w:t>
                  </w:r>
                  <w:r w:rsidR="00CB5912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sapatas reguladoras </w:t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reforçadas</w:t>
                  </w:r>
                  <w:r w:rsidR="00CB5912">
                    <w:rPr>
                      <w:rFonts w:eastAsia="Times New Roman" w:cstheme="minorHAnsi"/>
                      <w:sz w:val="22"/>
                      <w:lang w:eastAsia="pt-BR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761B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C923B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5217CD2B" w14:textId="77777777" w:rsidTr="00971E77">
              <w:trPr>
                <w:trHeight w:val="15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828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348D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8ED13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BC273" w14:textId="7882E004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 gabinete cozinha (1,40x 0,60x0,80) contendo 3 portas de giro 4 gavetas,</w:t>
                  </w:r>
                  <w:r w:rsidR="00CB5912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corrediças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br/>
                  </w:r>
                  <w:r w:rsidR="00CB5912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telescópicas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reforçadas e dobradiças reforçadas </w:t>
                  </w:r>
                  <w:r w:rsidR="00554F1E">
                    <w:rPr>
                      <w:rFonts w:eastAsia="Times New Roman" w:cstheme="minorHAnsi"/>
                      <w:sz w:val="22"/>
                      <w:lang w:eastAsia="pt-BR"/>
                    </w:rPr>
                    <w:t>padrão de qualidade</w:t>
                  </w:r>
                  <w:r w:rsidR="00554F1E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compatível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FGVtn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/1 mesa para cozinha (1,20 x 0,60) com pé Mesa/bancada Redondo Regulável Cromado 75cm </w:t>
                  </w:r>
                  <w:r w:rsidR="00554F1E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padrão de qualidade compatível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Cermag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/7 Prateleiras lavanderia (1,60x0,30).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F99B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809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3474A79D" w14:textId="77777777" w:rsidTr="00971E77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6C50E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2B38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D3ACD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58344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Reforma balcão oratório - revestimento para padronização da cor de acordo com a mobília do plenário (1,20 x 0,60x 0,45).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9BBC5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535F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7C25E079" w14:textId="77777777" w:rsidTr="00971E77">
              <w:trPr>
                <w:trHeight w:val="12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F0C2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2E188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2E776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67787" w14:textId="56C77B6B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1 mesa em L </w:t>
                  </w:r>
                  <w:r w:rsidR="00554F1E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(gabinete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adaptado) (1,70 x1,70 x0,60x 0,50) contendo 1 porta de giro 1 0,40x 0,77 x 0,48 gaveteiro com 4 gavetas 0,40 x 0,77 x 0,50 com sapatas reguladoras reforçadas </w:t>
                  </w:r>
                  <w:r w:rsidR="00554F1E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corrediças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="00554F1E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telescópicas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reforçadas.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451D5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41F69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73ECD033" w14:textId="77777777" w:rsidTr="00971E77">
              <w:trPr>
                <w:trHeight w:val="10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18049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353F4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86C8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8CD1C" w14:textId="7A2B8E1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 mesa em L (gabinete) (1,84 x 1,88 x0,70 x0,50) 1 gaveteiro fixo com 2 gavetas 0,40x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br/>
                    <w:t xml:space="preserve">0,40 x 0,48) com sapatas reguladoras reforçadas e corrediças </w:t>
                  </w:r>
                  <w:r w:rsidR="00554F1E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telescópicas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reforçadas.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1A95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AB70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2157B4A0" w14:textId="77777777" w:rsidTr="00971E77">
              <w:trPr>
                <w:trHeight w:val="12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C1F0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lastRenderedPageBreak/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E213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BEE4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0EA58" w14:textId="7D1F695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(Secretaria) 1 mesa em L (1,60 x 0,40 x 1,60x0,70) (4 gavetas 1 porta de giro) com corrediças </w:t>
                  </w:r>
                  <w:r w:rsidR="00A529A0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telescópicas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reforçadas sapatas reguladoras reforçadas</w:t>
                  </w:r>
                  <w:r w:rsidR="00A529A0">
                    <w:rPr>
                      <w:rFonts w:eastAsia="Times New Roman" w:cstheme="minorHAnsi"/>
                      <w:sz w:val="22"/>
                      <w:lang w:eastAsia="pt-BR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AEF9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526A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2DDDC164" w14:textId="77777777" w:rsidTr="00971E77">
              <w:trPr>
                <w:trHeight w:val="10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91233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C1196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B5FE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B653A" w14:textId="7E6EC9D0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(Secretaria) 1 mesa reta com 2 gavetas (1,350 x 0,60) corrediças </w:t>
                  </w:r>
                  <w:r w:rsidR="00A529A0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telescópicas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="00A529A0"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reforçadas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com sapatas reguladoras reforçadas pé de</w:t>
                  </w:r>
                  <w:r w:rsidR="00A529A0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r w:rsidR="00A529A0">
                    <w:rPr>
                      <w:rFonts w:eastAsia="Times New Roman" w:cstheme="minorHAnsi"/>
                      <w:sz w:val="22"/>
                      <w:lang w:eastAsia="pt-BR"/>
                    </w:rPr>
                    <w:t>padrão de qualidade compatível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metalom</w:t>
                  </w:r>
                  <w:proofErr w:type="spellEnd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75E6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C6FE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5B0F1DE0" w14:textId="77777777" w:rsidTr="00971E77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0F65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44D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980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1BBF4" w14:textId="3BAE1215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1 balcão 4 portas de giro baixo (1,80 x 1,00 x 0,40) com dobradiças de pressão reforçadas </w:t>
                  </w:r>
                  <w:r w:rsidR="00A529A0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padrão de qualidade compatível </w:t>
                  </w:r>
                  <w:proofErr w:type="spellStart"/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FGVtn</w:t>
                  </w:r>
                  <w:proofErr w:type="spellEnd"/>
                  <w:r w:rsidR="00A529A0">
                    <w:rPr>
                      <w:rFonts w:eastAsia="Times New Roman" w:cstheme="minorHAnsi"/>
                      <w:sz w:val="22"/>
                      <w:lang w:eastAsia="pt-BR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4774C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1A1F6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41303CFC" w14:textId="77777777" w:rsidTr="00971E77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A0D76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36812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C4C4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6CE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Reforma 13 mesas gabinete diminuir para 1,60 um lado (1,60 x 1,35).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8BDD7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7D3AD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1D964433" w14:textId="77777777" w:rsidTr="00971E77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05EAB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CBF22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D3C51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FB56A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Reforma 1 mesas gabinete adaptado diminuir os dois lados (1,70 x 1,70) medida final.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F49A6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92A3E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  <w:tr w:rsidR="00971E77" w:rsidRPr="00971E77" w14:paraId="1071412E" w14:textId="77777777" w:rsidTr="00971E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A6E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3F6C0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E06F5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UND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DAB5D" w14:textId="10B0A02C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Painel Ripado </w:t>
                  </w:r>
                  <w:r w:rsidR="00196BE9">
                    <w:rPr>
                      <w:rFonts w:eastAsia="Times New Roman" w:cstheme="minorHAnsi"/>
                      <w:sz w:val="22"/>
                      <w:lang w:eastAsia="pt-BR"/>
                    </w:rPr>
                    <w:t xml:space="preserve">amadeirado </w:t>
                  </w: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Secretaria 4,20 x 2,50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3D7C3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950E5" w14:textId="77777777" w:rsidR="00971E77" w:rsidRPr="00971E77" w:rsidRDefault="00971E77" w:rsidP="00971E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2"/>
                      <w:lang w:eastAsia="pt-BR"/>
                    </w:rPr>
                  </w:pPr>
                  <w:r w:rsidRPr="00971E77">
                    <w:rPr>
                      <w:rFonts w:eastAsia="Times New Roman" w:cstheme="minorHAnsi"/>
                      <w:sz w:val="22"/>
                      <w:lang w:eastAsia="pt-BR"/>
                    </w:rPr>
                    <w:t> </w:t>
                  </w:r>
                </w:p>
              </w:tc>
            </w:tr>
          </w:tbl>
          <w:p w14:paraId="679878B8" w14:textId="2FD0C2AE" w:rsidR="00971E77" w:rsidRPr="00971E77" w:rsidRDefault="00971E77" w:rsidP="002C6CEC">
            <w:pPr>
              <w:rPr>
                <w:rFonts w:cstheme="minorHAnsi"/>
                <w:b/>
                <w:bCs/>
                <w:sz w:val="22"/>
              </w:rPr>
            </w:pPr>
          </w:p>
        </w:tc>
      </w:tr>
      <w:tr w:rsidR="00F6719E" w:rsidRPr="00971E77" w14:paraId="4CF3297B" w14:textId="77777777" w:rsidTr="00457D5C">
        <w:trPr>
          <w:jc w:val="center"/>
        </w:trPr>
        <w:tc>
          <w:tcPr>
            <w:tcW w:w="9776" w:type="dxa"/>
          </w:tcPr>
          <w:p w14:paraId="63EB178B" w14:textId="7C74F764" w:rsidR="00F6719E" w:rsidRPr="00971E77" w:rsidRDefault="00F6719E" w:rsidP="002C6CEC">
            <w:pPr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lastRenderedPageBreak/>
              <w:t>Valor global (em R$)</w:t>
            </w:r>
          </w:p>
        </w:tc>
      </w:tr>
      <w:tr w:rsidR="00F6719E" w:rsidRPr="00971E77" w14:paraId="11EB74E1" w14:textId="77777777" w:rsidTr="00457D5C">
        <w:trPr>
          <w:jc w:val="center"/>
        </w:trPr>
        <w:tc>
          <w:tcPr>
            <w:tcW w:w="9776" w:type="dxa"/>
          </w:tcPr>
          <w:p w14:paraId="3334F6C3" w14:textId="70E1B25C" w:rsidR="00F6719E" w:rsidRPr="00971E77" w:rsidRDefault="00F6719E" w:rsidP="002C6CEC">
            <w:pPr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Valor por extenso (em R$):</w:t>
            </w:r>
          </w:p>
        </w:tc>
      </w:tr>
      <w:tr w:rsidR="000B658C" w:rsidRPr="00971E77" w14:paraId="6B68AD2E" w14:textId="77777777" w:rsidTr="00457D5C">
        <w:trPr>
          <w:jc w:val="center"/>
        </w:trPr>
        <w:tc>
          <w:tcPr>
            <w:tcW w:w="9776" w:type="dxa"/>
          </w:tcPr>
          <w:p w14:paraId="6ECDE21F" w14:textId="6A549BE9" w:rsidR="000B658C" w:rsidRPr="00971E77" w:rsidRDefault="000B658C" w:rsidP="000B658C">
            <w:pPr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Prazo de validade da proposta (em conf. Edital):</w:t>
            </w:r>
          </w:p>
        </w:tc>
      </w:tr>
      <w:tr w:rsidR="000B658C" w:rsidRPr="00971E77" w14:paraId="50988CC0" w14:textId="77777777" w:rsidTr="00457D5C">
        <w:trPr>
          <w:jc w:val="center"/>
        </w:trPr>
        <w:tc>
          <w:tcPr>
            <w:tcW w:w="9776" w:type="dxa"/>
          </w:tcPr>
          <w:p w14:paraId="0BD39F72" w14:textId="468BFD9E" w:rsidR="000B658C" w:rsidRPr="00971E77" w:rsidRDefault="000B658C" w:rsidP="000B658C">
            <w:pPr>
              <w:spacing w:line="276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Declaramos, para todos os fins de direito, que cumprimos plenamente os requisitos de habilitação e que nossa proposta está em conformidade com as exigências do instrumento convocatório.</w:t>
            </w:r>
          </w:p>
        </w:tc>
      </w:tr>
      <w:tr w:rsidR="000B658C" w:rsidRPr="00971E77" w14:paraId="7BEA5F9D" w14:textId="77777777" w:rsidTr="00457D5C">
        <w:trPr>
          <w:jc w:val="center"/>
        </w:trPr>
        <w:tc>
          <w:tcPr>
            <w:tcW w:w="9776" w:type="dxa"/>
          </w:tcPr>
          <w:p w14:paraId="65F4D05D" w14:textId="1EF380B0" w:rsidR="000B658C" w:rsidRPr="00971E77" w:rsidRDefault="007A009C" w:rsidP="007A009C">
            <w:pPr>
              <w:spacing w:line="276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Declaramos, ainda, que estamos enquadradas no Regime de tributação de Microempresa e Empresa de Pequeno Porte, conforme estabelece o artigo 3º da Lei Complementar 123, de 14 de</w:t>
            </w:r>
            <w:r w:rsidR="00971E77" w:rsidRPr="00971E77">
              <w:rPr>
                <w:rFonts w:cstheme="minorHAnsi"/>
                <w:b/>
                <w:bCs/>
                <w:sz w:val="22"/>
              </w:rPr>
              <w:t xml:space="preserve"> </w:t>
            </w:r>
            <w:r w:rsidRPr="00971E77">
              <w:rPr>
                <w:rFonts w:cstheme="minorHAnsi"/>
                <w:b/>
                <w:bCs/>
                <w:sz w:val="22"/>
              </w:rPr>
              <w:t>dezembro de 2006. (Somente na hipótese de o licitante ser Microempresa ou Empresa de Pequeno</w:t>
            </w:r>
            <w:r w:rsidR="002B1DD6" w:rsidRPr="00971E77">
              <w:rPr>
                <w:rFonts w:cstheme="minorHAnsi"/>
                <w:b/>
                <w:bCs/>
                <w:sz w:val="22"/>
              </w:rPr>
              <w:t xml:space="preserve"> </w:t>
            </w:r>
            <w:r w:rsidRPr="00971E77">
              <w:rPr>
                <w:rFonts w:cstheme="minorHAnsi"/>
                <w:b/>
                <w:bCs/>
                <w:sz w:val="22"/>
              </w:rPr>
              <w:t>Porte (ME/EPP).</w:t>
            </w:r>
          </w:p>
        </w:tc>
      </w:tr>
      <w:tr w:rsidR="007A009C" w:rsidRPr="00971E77" w14:paraId="1E8ABB80" w14:textId="77777777" w:rsidTr="00457D5C">
        <w:trPr>
          <w:jc w:val="center"/>
        </w:trPr>
        <w:tc>
          <w:tcPr>
            <w:tcW w:w="9776" w:type="dxa"/>
          </w:tcPr>
          <w:p w14:paraId="148A73D7" w14:textId="5CB7CEF6" w:rsidR="007A009C" w:rsidRPr="00971E77" w:rsidRDefault="007A009C" w:rsidP="007A009C">
            <w:pPr>
              <w:spacing w:line="276" w:lineRule="auto"/>
              <w:jc w:val="both"/>
              <w:rPr>
                <w:rFonts w:cstheme="minorHAnsi"/>
                <w:b/>
                <w:bCs/>
                <w:sz w:val="22"/>
              </w:rPr>
            </w:pPr>
            <w:r w:rsidRPr="00971E77">
              <w:rPr>
                <w:rFonts w:cstheme="minorHAnsi"/>
                <w:b/>
                <w:bCs/>
                <w:sz w:val="22"/>
              </w:rPr>
              <w:t>Data:</w:t>
            </w:r>
          </w:p>
        </w:tc>
      </w:tr>
    </w:tbl>
    <w:p w14:paraId="1729CF23" w14:textId="77777777" w:rsidR="002B1DD6" w:rsidRDefault="002B1DD6" w:rsidP="00835315">
      <w:pPr>
        <w:spacing w:line="276" w:lineRule="auto"/>
        <w:jc w:val="right"/>
        <w:rPr>
          <w:sz w:val="22"/>
        </w:rPr>
      </w:pPr>
    </w:p>
    <w:p w14:paraId="1540B82B" w14:textId="1D898D98" w:rsidR="00835315" w:rsidRDefault="00E66F62" w:rsidP="00835315">
      <w:pPr>
        <w:spacing w:line="276" w:lineRule="auto"/>
        <w:jc w:val="right"/>
        <w:rPr>
          <w:sz w:val="22"/>
        </w:rPr>
      </w:pPr>
      <w:r>
        <w:rPr>
          <w:sz w:val="22"/>
        </w:rPr>
        <w:t>_____________________</w:t>
      </w:r>
      <w:r w:rsidR="00835315" w:rsidRPr="00F56C79">
        <w:rPr>
          <w:sz w:val="22"/>
        </w:rPr>
        <w:t>, ____ de ___________de _______.</w:t>
      </w:r>
    </w:p>
    <w:p w14:paraId="02D4501C" w14:textId="77777777" w:rsidR="00971E77" w:rsidRPr="00F56C79" w:rsidRDefault="00971E77" w:rsidP="00835315">
      <w:pPr>
        <w:spacing w:line="276" w:lineRule="auto"/>
        <w:jc w:val="right"/>
        <w:rPr>
          <w:sz w:val="22"/>
        </w:rPr>
      </w:pPr>
    </w:p>
    <w:p w14:paraId="0908CFCD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11E87201" w14:textId="77777777" w:rsidR="002B1DD6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366F422E" w14:textId="133DF775" w:rsidR="00835315" w:rsidRPr="00835315" w:rsidRDefault="00835315" w:rsidP="002B1DD6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sectPr w:rsidR="00835315" w:rsidRPr="00835315" w:rsidSect="00A8147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39F4" w14:textId="77777777" w:rsidR="00B37DB4" w:rsidRDefault="00B37DB4" w:rsidP="0059705D">
      <w:pPr>
        <w:spacing w:after="0" w:line="240" w:lineRule="auto"/>
      </w:pPr>
      <w:r>
        <w:separator/>
      </w:r>
    </w:p>
  </w:endnote>
  <w:endnote w:type="continuationSeparator" w:id="0">
    <w:p w14:paraId="675A674E" w14:textId="77777777" w:rsidR="00B37DB4" w:rsidRDefault="00B37DB4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86596"/>
      <w:docPartObj>
        <w:docPartGallery w:val="Page Numbers (Bottom of Page)"/>
        <w:docPartUnique/>
      </w:docPartObj>
    </w:sdtPr>
    <w:sdtContent>
      <w:p w14:paraId="15D26DDC" w14:textId="568D0B58" w:rsidR="00971E77" w:rsidRDefault="00971E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B9590" w14:textId="77777777" w:rsidR="00971E77" w:rsidRDefault="00971E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7E31" w14:textId="77777777" w:rsidR="00B37DB4" w:rsidRDefault="00B37DB4" w:rsidP="0059705D">
      <w:pPr>
        <w:spacing w:after="0" w:line="240" w:lineRule="auto"/>
      </w:pPr>
      <w:r>
        <w:separator/>
      </w:r>
    </w:p>
  </w:footnote>
  <w:footnote w:type="continuationSeparator" w:id="0">
    <w:p w14:paraId="1E7F46A5" w14:textId="77777777" w:rsidR="00B37DB4" w:rsidRDefault="00B37DB4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315D5"/>
    <w:rsid w:val="00062B98"/>
    <w:rsid w:val="00063F76"/>
    <w:rsid w:val="000B658C"/>
    <w:rsid w:val="000C3687"/>
    <w:rsid w:val="000D3CA3"/>
    <w:rsid w:val="000F3FCE"/>
    <w:rsid w:val="00167C09"/>
    <w:rsid w:val="00185C3B"/>
    <w:rsid w:val="00196BE9"/>
    <w:rsid w:val="00226AC8"/>
    <w:rsid w:val="002569FE"/>
    <w:rsid w:val="002619AA"/>
    <w:rsid w:val="0028720E"/>
    <w:rsid w:val="002A637D"/>
    <w:rsid w:val="002B0962"/>
    <w:rsid w:val="002B1DD6"/>
    <w:rsid w:val="00343EC0"/>
    <w:rsid w:val="003D3C6C"/>
    <w:rsid w:val="00431329"/>
    <w:rsid w:val="00457D5C"/>
    <w:rsid w:val="004A6386"/>
    <w:rsid w:val="004B4E13"/>
    <w:rsid w:val="004D61DD"/>
    <w:rsid w:val="004F6DFA"/>
    <w:rsid w:val="00554F1E"/>
    <w:rsid w:val="0059705D"/>
    <w:rsid w:val="005E6F9E"/>
    <w:rsid w:val="0065659E"/>
    <w:rsid w:val="006836F1"/>
    <w:rsid w:val="006B089F"/>
    <w:rsid w:val="006B5BF4"/>
    <w:rsid w:val="006D26B9"/>
    <w:rsid w:val="007839DB"/>
    <w:rsid w:val="007A009C"/>
    <w:rsid w:val="007D4338"/>
    <w:rsid w:val="007D5863"/>
    <w:rsid w:val="007E5650"/>
    <w:rsid w:val="007F6D50"/>
    <w:rsid w:val="00804C3F"/>
    <w:rsid w:val="00820619"/>
    <w:rsid w:val="00831486"/>
    <w:rsid w:val="00834CCC"/>
    <w:rsid w:val="00835315"/>
    <w:rsid w:val="008B3727"/>
    <w:rsid w:val="008D7C3A"/>
    <w:rsid w:val="00960166"/>
    <w:rsid w:val="00971E77"/>
    <w:rsid w:val="00985A6C"/>
    <w:rsid w:val="009C7F30"/>
    <w:rsid w:val="009E1E3D"/>
    <w:rsid w:val="009F53D3"/>
    <w:rsid w:val="00A00CFB"/>
    <w:rsid w:val="00A4306C"/>
    <w:rsid w:val="00A52519"/>
    <w:rsid w:val="00A529A0"/>
    <w:rsid w:val="00A810C8"/>
    <w:rsid w:val="00A8147B"/>
    <w:rsid w:val="00AB5E89"/>
    <w:rsid w:val="00B03FD5"/>
    <w:rsid w:val="00B37DB4"/>
    <w:rsid w:val="00B4540E"/>
    <w:rsid w:val="00B8111B"/>
    <w:rsid w:val="00BE29DA"/>
    <w:rsid w:val="00BF1C36"/>
    <w:rsid w:val="00C134A7"/>
    <w:rsid w:val="00C861C4"/>
    <w:rsid w:val="00CB1EAA"/>
    <w:rsid w:val="00CB5912"/>
    <w:rsid w:val="00CC17E0"/>
    <w:rsid w:val="00CD29EF"/>
    <w:rsid w:val="00CD315E"/>
    <w:rsid w:val="00CD6E1F"/>
    <w:rsid w:val="00E10157"/>
    <w:rsid w:val="00E1318E"/>
    <w:rsid w:val="00E13941"/>
    <w:rsid w:val="00E16900"/>
    <w:rsid w:val="00E27F41"/>
    <w:rsid w:val="00E30616"/>
    <w:rsid w:val="00E66F62"/>
    <w:rsid w:val="00E946A9"/>
    <w:rsid w:val="00EA3671"/>
    <w:rsid w:val="00EC002B"/>
    <w:rsid w:val="00ED0DAC"/>
    <w:rsid w:val="00F1542C"/>
    <w:rsid w:val="00F158CE"/>
    <w:rsid w:val="00F56C79"/>
    <w:rsid w:val="00F65747"/>
    <w:rsid w:val="00F6719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22</cp:revision>
  <cp:lastPrinted>2021-09-03T16:17:00Z</cp:lastPrinted>
  <dcterms:created xsi:type="dcterms:W3CDTF">2024-10-08T17:35:00Z</dcterms:created>
  <dcterms:modified xsi:type="dcterms:W3CDTF">2024-10-25T16:21:00Z</dcterms:modified>
</cp:coreProperties>
</file>